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8B80C4">
      <w:pPr>
        <w:spacing w:line="600" w:lineRule="atLeast"/>
        <w:jc w:val="center"/>
        <w:rPr>
          <w:rFonts w:hint="default" w:ascii="Times New Roman" w:hAnsi="Times New Roman" w:eastAsia="方正仿宋_GBK" w:cs="Times New Roman"/>
          <w:sz w:val="32"/>
          <w:szCs w:val="32"/>
        </w:rPr>
      </w:pPr>
    </w:p>
    <w:p w14:paraId="69A11FB4">
      <w:pPr>
        <w:spacing w:line="600" w:lineRule="atLeast"/>
        <w:jc w:val="center"/>
        <w:rPr>
          <w:rFonts w:hint="default" w:ascii="Times New Roman" w:hAnsi="Times New Roman" w:eastAsia="方正仿宋_GBK" w:cs="Times New Roman"/>
          <w:sz w:val="32"/>
          <w:szCs w:val="32"/>
        </w:rPr>
      </w:pPr>
    </w:p>
    <w:p w14:paraId="49F22E50">
      <w:pPr>
        <w:keepNext w:val="0"/>
        <w:keepLines w:val="0"/>
        <w:pageBreakBefore w:val="0"/>
        <w:widowControl w:val="0"/>
        <w:kinsoku/>
        <w:wordWrap/>
        <w:overflowPunct/>
        <w:topLinePunct w:val="0"/>
        <w:bidi w:val="0"/>
        <w:snapToGrid/>
        <w:spacing w:line="600" w:lineRule="exact"/>
        <w:jc w:val="center"/>
        <w:textAlignment w:val="auto"/>
        <w:rPr>
          <w:rFonts w:hint="eastAsia" w:eastAsia="方正小标宋_GBK"/>
          <w:spacing w:val="-10"/>
          <w:sz w:val="44"/>
          <w:szCs w:val="44"/>
          <w:highlight w:val="none"/>
          <w:lang w:eastAsia="zh-CN"/>
        </w:rPr>
      </w:pPr>
      <w:r>
        <w:rPr>
          <w:rFonts w:hint="eastAsia" w:eastAsia="方正小标宋_GBK"/>
          <w:spacing w:val="-10"/>
          <w:sz w:val="44"/>
          <w:szCs w:val="44"/>
          <w:highlight w:val="none"/>
          <w:lang w:val="en-US" w:eastAsia="zh-CN"/>
        </w:rPr>
        <w:t>丰都县</w:t>
      </w:r>
      <w:r>
        <w:rPr>
          <w:rFonts w:hint="eastAsia" w:eastAsia="方正小标宋_GBK"/>
          <w:spacing w:val="-10"/>
          <w:sz w:val="44"/>
          <w:szCs w:val="44"/>
          <w:highlight w:val="none"/>
        </w:rPr>
        <w:t>人民政府办</w:t>
      </w:r>
      <w:r>
        <w:rPr>
          <w:rFonts w:hint="eastAsia" w:eastAsia="方正小标宋_GBK"/>
          <w:spacing w:val="-10"/>
          <w:sz w:val="44"/>
          <w:szCs w:val="44"/>
          <w:highlight w:val="none"/>
          <w:lang w:eastAsia="zh-CN"/>
        </w:rPr>
        <w:t>公室</w:t>
      </w:r>
    </w:p>
    <w:p w14:paraId="0D60888C">
      <w:pPr>
        <w:keepNext w:val="0"/>
        <w:keepLines w:val="0"/>
        <w:pageBreakBefore w:val="0"/>
        <w:widowControl w:val="0"/>
        <w:kinsoku/>
        <w:wordWrap/>
        <w:overflowPunct/>
        <w:topLinePunct w:val="0"/>
        <w:bidi w:val="0"/>
        <w:snapToGrid/>
        <w:spacing w:line="600" w:lineRule="exact"/>
        <w:jc w:val="center"/>
        <w:textAlignment w:val="auto"/>
        <w:rPr>
          <w:rFonts w:hint="eastAsia" w:eastAsia="方正小标宋_GBK"/>
          <w:spacing w:val="-10"/>
          <w:sz w:val="44"/>
          <w:szCs w:val="44"/>
          <w:highlight w:val="none"/>
          <w:lang w:val="en-US" w:eastAsia="zh-CN"/>
        </w:rPr>
      </w:pPr>
      <w:r>
        <w:rPr>
          <w:rFonts w:hint="eastAsia" w:eastAsia="方正小标宋_GBK"/>
          <w:spacing w:val="-10"/>
          <w:sz w:val="44"/>
          <w:szCs w:val="44"/>
          <w:highlight w:val="none"/>
        </w:rPr>
        <w:t>关于</w:t>
      </w:r>
      <w:r>
        <w:rPr>
          <w:rFonts w:hint="eastAsia" w:eastAsia="方正小标宋_GBK"/>
          <w:spacing w:val="-10"/>
          <w:sz w:val="44"/>
          <w:szCs w:val="44"/>
          <w:highlight w:val="none"/>
          <w:lang w:val="en-US" w:eastAsia="zh-CN"/>
        </w:rPr>
        <w:t>公布《丰都县</w:t>
      </w:r>
      <w:r>
        <w:rPr>
          <w:rFonts w:hint="eastAsia" w:eastAsia="方正小标宋_GBK"/>
          <w:spacing w:val="-10"/>
          <w:sz w:val="44"/>
          <w:szCs w:val="44"/>
          <w:highlight w:val="none"/>
        </w:rPr>
        <w:t>划拨土地价款指导标准</w:t>
      </w:r>
      <w:r>
        <w:rPr>
          <w:rFonts w:hint="eastAsia" w:eastAsia="方正小标宋_GBK"/>
          <w:spacing w:val="-10"/>
          <w:sz w:val="44"/>
          <w:szCs w:val="44"/>
          <w:highlight w:val="none"/>
          <w:lang w:val="en-US" w:eastAsia="zh-CN"/>
        </w:rPr>
        <w:t>》</w:t>
      </w:r>
    </w:p>
    <w:p w14:paraId="39F98657">
      <w:pPr>
        <w:keepNext w:val="0"/>
        <w:keepLines w:val="0"/>
        <w:pageBreakBefore w:val="0"/>
        <w:widowControl w:val="0"/>
        <w:kinsoku/>
        <w:wordWrap/>
        <w:overflowPunct/>
        <w:topLinePunct w:val="0"/>
        <w:bidi w:val="0"/>
        <w:snapToGrid/>
        <w:spacing w:line="600" w:lineRule="exact"/>
        <w:jc w:val="center"/>
        <w:textAlignment w:val="auto"/>
        <w:rPr>
          <w:rFonts w:hint="eastAsia" w:eastAsia="方正小标宋_GBK"/>
          <w:spacing w:val="-10"/>
          <w:sz w:val="44"/>
          <w:szCs w:val="44"/>
          <w:highlight w:val="none"/>
        </w:rPr>
      </w:pPr>
      <w:r>
        <w:rPr>
          <w:rFonts w:hint="eastAsia" w:eastAsia="方正小标宋_GBK"/>
          <w:spacing w:val="-10"/>
          <w:sz w:val="44"/>
          <w:szCs w:val="44"/>
          <w:highlight w:val="none"/>
        </w:rPr>
        <w:t>的通知</w:t>
      </w:r>
    </w:p>
    <w:p w14:paraId="37CFC530">
      <w:pPr>
        <w:bidi w:val="0"/>
        <w:rPr>
          <w:rFonts w:hint="default"/>
          <w:sz w:val="44"/>
          <w:szCs w:val="44"/>
        </w:rPr>
      </w:pPr>
    </w:p>
    <w:p w14:paraId="09C0085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各乡镇人民政府、街道办事处，县级各部门，有关单位：</w:t>
      </w:r>
    </w:p>
    <w:p w14:paraId="65B557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《丰都县划拨土地价款指导标准》已经县委常委会第14</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次会议、县政府第10</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次常务会议审议通过，现印发给你们，请认真贯彻执行。</w:t>
      </w:r>
    </w:p>
    <w:p w14:paraId="1C80B2CE">
      <w:pPr>
        <w:keepNext w:val="0"/>
        <w:keepLines w:val="0"/>
        <w:pageBreakBefore w:val="0"/>
        <w:widowControl w:val="0"/>
        <w:kinsoku/>
        <w:wordWrap/>
        <w:overflowPunct/>
        <w:topLinePunct w:val="0"/>
        <w:autoSpaceDE/>
        <w:autoSpaceDN/>
        <w:bidi w:val="0"/>
        <w:adjustRightInd/>
        <w:snapToGrid/>
        <w:spacing w:line="560" w:lineRule="exact"/>
        <w:ind w:left="0" w:leftChars="0" w:firstLine="5299" w:firstLineChars="1656"/>
        <w:textAlignment w:val="auto"/>
        <w:rPr>
          <w:rFonts w:hint="default" w:ascii="Times New Roman" w:hAnsi="Times New Roman" w:eastAsia="方正仿宋_GBK" w:cs="Times New Roman"/>
          <w:sz w:val="32"/>
          <w:szCs w:val="32"/>
        </w:rPr>
      </w:pPr>
    </w:p>
    <w:p w14:paraId="69632FC4">
      <w:pPr>
        <w:keepNext w:val="0"/>
        <w:keepLines w:val="0"/>
        <w:pageBreakBefore w:val="0"/>
        <w:widowControl w:val="0"/>
        <w:kinsoku/>
        <w:wordWrap/>
        <w:overflowPunct/>
        <w:topLinePunct w:val="0"/>
        <w:autoSpaceDE/>
        <w:autoSpaceDN/>
        <w:bidi w:val="0"/>
        <w:adjustRightInd/>
        <w:snapToGrid/>
        <w:spacing w:line="560" w:lineRule="exact"/>
        <w:ind w:left="0" w:leftChars="0" w:firstLine="4960" w:firstLineChars="155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丰都县人民政府</w:t>
      </w:r>
      <w:r>
        <w:rPr>
          <w:rFonts w:hint="eastAsia" w:ascii="Times New Roman" w:hAnsi="Times New Roman" w:eastAsia="方正仿宋_GBK" w:cs="Times New Roman"/>
          <w:sz w:val="32"/>
          <w:szCs w:val="32"/>
          <w:lang w:eastAsia="zh-CN"/>
        </w:rPr>
        <w:t>办公室</w:t>
      </w:r>
    </w:p>
    <w:p w14:paraId="07F97840">
      <w:pPr>
        <w:keepNext w:val="0"/>
        <w:keepLines w:val="0"/>
        <w:pageBreakBefore w:val="0"/>
        <w:widowControl w:val="0"/>
        <w:kinsoku/>
        <w:wordWrap/>
        <w:overflowPunct/>
        <w:topLinePunct w:val="0"/>
        <w:autoSpaceDE/>
        <w:autoSpaceDN/>
        <w:bidi w:val="0"/>
        <w:adjustRightInd/>
        <w:snapToGrid/>
        <w:spacing w:line="560" w:lineRule="exact"/>
        <w:ind w:left="0" w:leftChars="0" w:firstLine="5299" w:firstLineChars="1656"/>
        <w:textAlignment w:val="auto"/>
        <w:rPr>
          <w:rFonts w:hint="default" w:ascii="Times New Roman" w:hAnsi="Times New Roman" w:eastAsia="方正仿宋_GBK" w:cs="Times New Roman"/>
          <w:bCs/>
          <w:color w:val="000000"/>
          <w:spacing w:val="0"/>
          <w:sz w:val="32"/>
          <w:szCs w:val="32"/>
          <w:lang w:val="en-US" w:eastAsia="zh-CN"/>
        </w:rPr>
      </w:pPr>
      <w:r>
        <w:rPr>
          <w:rFonts w:hint="default" w:ascii="Times New Roman" w:hAnsi="Times New Roman" w:eastAsia="方正仿宋_GBK" w:cs="Times New Roman"/>
          <w:sz w:val="32"/>
          <w:szCs w:val="32"/>
        </w:rPr>
        <w:t>2025年</w:t>
      </w: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rPr>
        <w:t>日</w:t>
      </w:r>
      <w:r>
        <w:rPr>
          <w:rFonts w:hint="default" w:ascii="Times New Roman" w:hAnsi="Times New Roman" w:eastAsia="方正仿宋_GBK" w:cs="Times New Roman"/>
          <w:bCs/>
          <w:color w:val="000000"/>
          <w:spacing w:val="0"/>
          <w:sz w:val="32"/>
          <w:szCs w:val="32"/>
          <w:lang w:val="en-US" w:eastAsia="zh-CN"/>
        </w:rPr>
        <w:t xml:space="preserve">    </w:t>
      </w:r>
    </w:p>
    <w:p w14:paraId="12ECE4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pacing w:val="0"/>
          <w:sz w:val="32"/>
          <w:szCs w:val="32"/>
          <w:lang w:eastAsia="zh-CN"/>
        </w:rPr>
      </w:pPr>
      <w:r>
        <w:rPr>
          <w:rFonts w:hint="default" w:ascii="Times New Roman" w:hAnsi="Times New Roman" w:eastAsia="方正仿宋_GBK" w:cs="Times New Roman"/>
          <w:spacing w:val="0"/>
          <w:sz w:val="32"/>
          <w:szCs w:val="32"/>
          <w:lang w:eastAsia="zh-CN"/>
        </w:rPr>
        <w:t>（此件公开发布）</w:t>
      </w:r>
    </w:p>
    <w:p w14:paraId="1A35AA1C">
      <w:pPr>
        <w:keepNext w:val="0"/>
        <w:keepLines w:val="0"/>
        <w:pageBreakBefore w:val="0"/>
        <w:widowControl w:val="0"/>
        <w:kinsoku/>
        <w:wordWrap/>
        <w:overflowPunct/>
        <w:topLinePunct w:val="0"/>
        <w:autoSpaceDE/>
        <w:autoSpaceDN/>
        <w:bidi w:val="0"/>
        <w:adjustRightInd/>
        <w:snapToGrid/>
        <w:spacing w:line="560" w:lineRule="exact"/>
        <w:ind w:left="0" w:leftChars="0" w:firstLine="5299" w:firstLineChars="1656"/>
        <w:textAlignment w:val="auto"/>
        <w:rPr>
          <w:rFonts w:hint="default" w:ascii="Times New Roman" w:hAnsi="Times New Roman" w:eastAsia="方正仿宋_GBK" w:cs="Times New Roman"/>
          <w:bCs/>
          <w:color w:val="000000"/>
          <w:spacing w:val="0"/>
          <w:sz w:val="32"/>
          <w:szCs w:val="32"/>
          <w:lang w:val="en-US" w:eastAsia="zh-CN"/>
        </w:rPr>
      </w:pPr>
      <w:bookmarkStart w:id="0" w:name="_GoBack"/>
      <w:bookmarkEnd w:id="0"/>
      <w:r>
        <w:rPr>
          <w:rFonts w:hint="default" w:ascii="Times New Roman" w:hAnsi="Times New Roman" w:eastAsia="方正仿宋_GBK" w:cs="Times New Roman"/>
          <w:bCs/>
          <w:color w:val="000000"/>
          <w:spacing w:val="0"/>
          <w:sz w:val="32"/>
          <w:szCs w:val="32"/>
          <w:lang w:val="en-US" w:eastAsia="zh-CN"/>
        </w:rPr>
        <w:t xml:space="preserve">    </w:t>
      </w:r>
    </w:p>
    <w:p w14:paraId="0D42B21B">
      <w:pPr>
        <w:ind w:firstLine="640" w:firstLineChars="200"/>
        <w:rPr>
          <w:rFonts w:hint="default" w:ascii="Times New Roman" w:hAnsi="Times New Roman" w:eastAsia="方正仿宋_GBK" w:cs="Times New Roman"/>
          <w:kern w:val="0"/>
          <w:sz w:val="32"/>
          <w:szCs w:val="32"/>
          <w:shd w:val="clear" w:color="auto" w:fill="FFFFFF"/>
        </w:rPr>
      </w:pPr>
    </w:p>
    <w:p w14:paraId="56DC2856">
      <w:pPr>
        <w:ind w:firstLine="640" w:firstLineChars="200"/>
        <w:rPr>
          <w:rFonts w:hint="default" w:ascii="Times New Roman" w:hAnsi="Times New Roman" w:eastAsia="方正仿宋_GBK" w:cs="Times New Roman"/>
          <w:kern w:val="0"/>
          <w:sz w:val="32"/>
          <w:szCs w:val="32"/>
          <w:shd w:val="clear" w:color="auto" w:fill="FFFFFF"/>
        </w:rPr>
      </w:pPr>
    </w:p>
    <w:p w14:paraId="72073AFF">
      <w:pPr>
        <w:ind w:firstLine="640" w:firstLineChars="200"/>
        <w:rPr>
          <w:rFonts w:hint="default" w:ascii="Times New Roman" w:hAnsi="Times New Roman" w:eastAsia="方正仿宋_GBK" w:cs="Times New Roman"/>
          <w:kern w:val="0"/>
          <w:sz w:val="32"/>
          <w:szCs w:val="32"/>
          <w:shd w:val="clear" w:color="auto" w:fill="FFFFFF"/>
        </w:rPr>
      </w:pPr>
    </w:p>
    <w:p w14:paraId="1915A05D">
      <w:pPr>
        <w:ind w:firstLine="640" w:firstLineChars="200"/>
        <w:rPr>
          <w:rFonts w:hint="default" w:ascii="Times New Roman" w:hAnsi="Times New Roman" w:eastAsia="方正仿宋_GBK" w:cs="Times New Roman"/>
          <w:kern w:val="0"/>
          <w:sz w:val="32"/>
          <w:szCs w:val="32"/>
          <w:shd w:val="clear" w:color="auto" w:fill="FFFFFF"/>
        </w:rPr>
      </w:pPr>
    </w:p>
    <w:p w14:paraId="2A05CABA">
      <w:pPr>
        <w:jc w:val="both"/>
        <w:rPr>
          <w:rFonts w:hint="default" w:ascii="Times New Roman" w:hAnsi="Times New Roman" w:eastAsia="方正小标宋_GBK" w:cs="Times New Roman"/>
          <w:kern w:val="0"/>
          <w:sz w:val="44"/>
          <w:szCs w:val="44"/>
        </w:rPr>
      </w:pPr>
    </w:p>
    <w:p w14:paraId="16A4012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70" w:lineRule="exact"/>
        <w:ind w:leftChars="0" w:right="0"/>
        <w:jc w:val="center"/>
        <w:textAlignment w:val="auto"/>
        <w:outlineLvl w:val="9"/>
        <w:rPr>
          <w:rFonts w:hint="eastAsia" w:ascii="Times New Roman" w:hAnsi="Times New Roman" w:eastAsia="方正小标宋_GBK" w:cs="Times New Roman"/>
          <w:b w:val="0"/>
          <w:bCs w:val="0"/>
          <w:caps w:val="0"/>
          <w:color w:val="auto"/>
          <w:spacing w:val="-11"/>
          <w:kern w:val="2"/>
          <w:sz w:val="44"/>
          <w:szCs w:val="44"/>
          <w:highlight w:val="none"/>
          <w:lang w:val="en-US" w:eastAsia="zh-CN" w:bidi="ar"/>
        </w:rPr>
      </w:pPr>
    </w:p>
    <w:p w14:paraId="05BD24D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70" w:lineRule="exact"/>
        <w:ind w:leftChars="0" w:right="0"/>
        <w:jc w:val="center"/>
        <w:textAlignment w:val="auto"/>
        <w:outlineLvl w:val="9"/>
        <w:rPr>
          <w:rFonts w:hint="eastAsia" w:ascii="Times New Roman" w:hAnsi="Times New Roman" w:eastAsia="方正小标宋_GBK" w:cs="Times New Roman"/>
          <w:b w:val="0"/>
          <w:bCs w:val="0"/>
          <w:caps w:val="0"/>
          <w:color w:val="auto"/>
          <w:spacing w:val="-11"/>
          <w:kern w:val="2"/>
          <w:sz w:val="44"/>
          <w:szCs w:val="44"/>
          <w:highlight w:val="none"/>
          <w:lang w:val="en-US" w:eastAsia="zh-CN" w:bidi="ar"/>
        </w:rPr>
      </w:pPr>
      <w:r>
        <w:rPr>
          <w:rFonts w:hint="eastAsia" w:ascii="Times New Roman" w:hAnsi="Times New Roman" w:eastAsia="方正小标宋_GBK" w:cs="Times New Roman"/>
          <w:b w:val="0"/>
          <w:bCs w:val="0"/>
          <w:caps w:val="0"/>
          <w:color w:val="auto"/>
          <w:spacing w:val="-11"/>
          <w:kern w:val="2"/>
          <w:sz w:val="44"/>
          <w:szCs w:val="44"/>
          <w:highlight w:val="none"/>
          <w:lang w:val="en-US" w:eastAsia="zh-CN" w:bidi="ar"/>
        </w:rPr>
        <w:t>丰都县划拨土地价款指导标准</w:t>
      </w:r>
    </w:p>
    <w:p w14:paraId="79E82BB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70" w:lineRule="exact"/>
        <w:ind w:left="0" w:leftChars="0" w:right="0" w:firstLine="640" w:firstLineChars="200"/>
        <w:jc w:val="both"/>
        <w:textAlignment w:val="auto"/>
        <w:rPr>
          <w:rFonts w:hint="default" w:ascii="Times New Roman" w:hAnsi="Times New Roman" w:eastAsia="方正仿宋_GBK" w:cs="Times New Roman"/>
          <w:b w:val="0"/>
          <w:bCs w:val="0"/>
          <w:caps w:val="0"/>
          <w:color w:val="auto"/>
          <w:kern w:val="2"/>
          <w:sz w:val="32"/>
          <w:szCs w:val="32"/>
          <w:highlight w:val="none"/>
        </w:rPr>
      </w:pPr>
    </w:p>
    <w:p w14:paraId="34D9E1DA">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aps w:val="0"/>
          <w:color w:val="auto"/>
          <w:kern w:val="2"/>
          <w:sz w:val="32"/>
          <w:szCs w:val="32"/>
          <w:highlight w:val="none"/>
          <w:lang w:val="en-US" w:eastAsia="zh-CN" w:bidi="ar"/>
        </w:rPr>
      </w:pPr>
      <w:r>
        <w:rPr>
          <w:rFonts w:hint="default" w:ascii="Times New Roman" w:hAnsi="Times New Roman" w:eastAsia="方正仿宋_GBK" w:cs="Times New Roman"/>
          <w:b w:val="0"/>
          <w:bCs w:val="0"/>
          <w:caps w:val="0"/>
          <w:color w:val="auto"/>
          <w:kern w:val="2"/>
          <w:sz w:val="32"/>
          <w:szCs w:val="32"/>
          <w:highlight w:val="none"/>
          <w:lang w:val="en-US" w:eastAsia="zh-CN" w:bidi="ar"/>
        </w:rPr>
        <w:t>为切实做好划拨土地价款征收工作，促进节约</w:t>
      </w:r>
      <w:r>
        <w:rPr>
          <w:rFonts w:hint="eastAsia" w:ascii="Times New Roman" w:hAnsi="Times New Roman" w:eastAsia="方正仿宋_GBK" w:cs="Times New Roman"/>
          <w:b w:val="0"/>
          <w:bCs w:val="0"/>
          <w:caps w:val="0"/>
          <w:color w:val="auto"/>
          <w:kern w:val="2"/>
          <w:sz w:val="32"/>
          <w:szCs w:val="32"/>
          <w:highlight w:val="none"/>
          <w:lang w:val="en-US" w:eastAsia="zh-CN" w:bidi="ar"/>
        </w:rPr>
        <w:t>、</w:t>
      </w:r>
      <w:r>
        <w:rPr>
          <w:rFonts w:hint="default" w:ascii="Times New Roman" w:hAnsi="Times New Roman" w:eastAsia="方正仿宋_GBK" w:cs="Times New Roman"/>
          <w:b w:val="0"/>
          <w:bCs w:val="0"/>
          <w:caps w:val="0"/>
          <w:color w:val="auto"/>
          <w:kern w:val="2"/>
          <w:sz w:val="32"/>
          <w:szCs w:val="32"/>
          <w:highlight w:val="none"/>
          <w:lang w:val="en-US" w:eastAsia="zh-CN" w:bidi="ar"/>
        </w:rPr>
        <w:t>集约用地，提高政府投资项目行政审批效率，经县政府同意，现将调整划拨土地价款指导标准有关事宜通知如下：</w:t>
      </w:r>
    </w:p>
    <w:p w14:paraId="4243F49E">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eastAsia" w:ascii="Times New Roman" w:hAnsi="Times New Roman" w:eastAsia="方正仿宋_GBK" w:cs="Times New Roman"/>
          <w:b w:val="0"/>
          <w:bCs w:val="0"/>
          <w:caps w:val="0"/>
          <w:color w:val="auto"/>
          <w:kern w:val="2"/>
          <w:sz w:val="32"/>
          <w:szCs w:val="32"/>
          <w:highlight w:val="none"/>
          <w:lang w:val="en-US" w:eastAsia="zh-CN" w:bidi="ar"/>
        </w:rPr>
      </w:pPr>
      <w:r>
        <w:rPr>
          <w:rFonts w:hint="eastAsia" w:ascii="Times New Roman" w:hAnsi="Times New Roman" w:eastAsia="方正仿宋_GBK" w:cs="Times New Roman"/>
          <w:b w:val="0"/>
          <w:bCs w:val="0"/>
          <w:caps w:val="0"/>
          <w:color w:val="auto"/>
          <w:kern w:val="2"/>
          <w:sz w:val="32"/>
          <w:szCs w:val="32"/>
          <w:highlight w:val="none"/>
          <w:lang w:val="en-US" w:eastAsia="zh-CN" w:bidi="ar"/>
        </w:rPr>
        <w:t>一、划拨土地价款分类指导标准</w:t>
      </w:r>
    </w:p>
    <w:p w14:paraId="0D598771">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aps w:val="0"/>
          <w:color w:val="auto"/>
          <w:kern w:val="2"/>
          <w:sz w:val="32"/>
          <w:szCs w:val="32"/>
          <w:highlight w:val="none"/>
          <w:lang w:val="en-US" w:eastAsia="zh-CN" w:bidi="ar"/>
        </w:rPr>
      </w:pPr>
      <w:r>
        <w:rPr>
          <w:rFonts w:hint="default" w:ascii="Times New Roman" w:hAnsi="Times New Roman" w:eastAsia="方正仿宋_GBK" w:cs="Times New Roman"/>
          <w:b w:val="0"/>
          <w:bCs w:val="0"/>
          <w:caps w:val="0"/>
          <w:color w:val="auto"/>
          <w:kern w:val="2"/>
          <w:sz w:val="32"/>
          <w:szCs w:val="32"/>
          <w:highlight w:val="none"/>
          <w:lang w:val="en-US" w:eastAsia="zh-CN" w:bidi="ar"/>
        </w:rPr>
        <w:t>（一）凡在本县行政区域范围内符合划拨方式供应建设用地的，按以下标准：一类区域为60万元/亩，包括王家渡组团、名山组团、丁庄溪组团、龙河东组团、双路组团、水天坪组团、镇江组团。二类区域为50万元/亩，三合街道（除王家渡组团</w:t>
      </w:r>
      <w:r>
        <w:rPr>
          <w:rFonts w:hint="eastAsia" w:ascii="Times New Roman" w:hAnsi="Times New Roman" w:eastAsia="方正仿宋_GBK" w:cs="Times New Roman"/>
          <w:b w:val="0"/>
          <w:bCs w:val="0"/>
          <w:caps w:val="0"/>
          <w:color w:val="auto"/>
          <w:kern w:val="2"/>
          <w:sz w:val="32"/>
          <w:szCs w:val="32"/>
          <w:highlight w:val="none"/>
          <w:lang w:val="en-US" w:eastAsia="zh-CN" w:bidi="ar"/>
        </w:rPr>
        <w:t>、</w:t>
      </w:r>
      <w:r>
        <w:rPr>
          <w:rFonts w:hint="default" w:ascii="Times New Roman" w:hAnsi="Times New Roman" w:eastAsia="方正仿宋_GBK" w:cs="Times New Roman"/>
          <w:b w:val="0"/>
          <w:bCs w:val="0"/>
          <w:caps w:val="0"/>
          <w:color w:val="auto"/>
          <w:kern w:val="2"/>
          <w:sz w:val="32"/>
          <w:szCs w:val="32"/>
          <w:highlight w:val="none"/>
          <w:lang w:val="en-US" w:eastAsia="zh-CN" w:bidi="ar"/>
        </w:rPr>
        <w:t>龙河东组团和丁庄溪组团外）、名山街道（除名山组团和镇江组团外）、高家镇</w:t>
      </w:r>
      <w:r>
        <w:rPr>
          <w:rFonts w:hint="eastAsia" w:ascii="Times New Roman" w:hAnsi="Times New Roman" w:eastAsia="方正仿宋_GBK" w:cs="Times New Roman"/>
          <w:b w:val="0"/>
          <w:bCs w:val="0"/>
          <w:caps w:val="0"/>
          <w:color w:val="auto"/>
          <w:kern w:val="2"/>
          <w:sz w:val="32"/>
          <w:szCs w:val="32"/>
          <w:highlight w:val="none"/>
          <w:lang w:val="en-US" w:eastAsia="zh-CN" w:bidi="ar"/>
        </w:rPr>
        <w:t>、</w:t>
      </w:r>
      <w:r>
        <w:rPr>
          <w:rFonts w:hint="default" w:ascii="Times New Roman" w:hAnsi="Times New Roman" w:eastAsia="方正仿宋_GBK" w:cs="Times New Roman"/>
          <w:b w:val="0"/>
          <w:bCs w:val="0"/>
          <w:caps w:val="0"/>
          <w:color w:val="auto"/>
          <w:kern w:val="2"/>
          <w:sz w:val="32"/>
          <w:szCs w:val="32"/>
          <w:highlight w:val="none"/>
          <w:lang w:val="en-US" w:eastAsia="zh-CN" w:bidi="ar"/>
        </w:rPr>
        <w:t>兴义镇（除水天坪组团外）、双路镇（除龙河东组团和双路组团外）、虎威镇、湛普镇、社坛镇、仙女湖镇厢坝组团全域；三类区域为42万元/亩，包括十直镇、树人镇、龙孔镇、龙河镇、包鸾镇、保合镇、仁沙镇、董家镇、许明寺镇、三元镇、兴龙镇、双龙镇、江池镇、青龙乡全域；四类区域为38万元/亩，包括南天湖镇、暨龙镇、武平镇、三建镇</w:t>
      </w:r>
      <w:r>
        <w:rPr>
          <w:rFonts w:hint="eastAsia" w:ascii="Times New Roman" w:hAnsi="Times New Roman" w:eastAsia="方正仿宋_GBK" w:cs="Times New Roman"/>
          <w:b w:val="0"/>
          <w:bCs w:val="0"/>
          <w:caps w:val="0"/>
          <w:color w:val="auto"/>
          <w:kern w:val="2"/>
          <w:sz w:val="32"/>
          <w:szCs w:val="32"/>
          <w:highlight w:val="none"/>
          <w:lang w:val="en-US" w:eastAsia="zh-CN" w:bidi="ar"/>
        </w:rPr>
        <w:t>、</w:t>
      </w:r>
      <w:r>
        <w:rPr>
          <w:rFonts w:hint="default" w:ascii="Times New Roman" w:hAnsi="Times New Roman" w:eastAsia="方正仿宋_GBK" w:cs="Times New Roman"/>
          <w:b w:val="0"/>
          <w:bCs w:val="0"/>
          <w:caps w:val="0"/>
          <w:color w:val="auto"/>
          <w:kern w:val="2"/>
          <w:sz w:val="32"/>
          <w:szCs w:val="32"/>
          <w:highlight w:val="none"/>
          <w:lang w:val="en-US" w:eastAsia="zh-CN" w:bidi="ar"/>
        </w:rPr>
        <w:t>栗子乡</w:t>
      </w:r>
      <w:r>
        <w:rPr>
          <w:rFonts w:hint="eastAsia" w:ascii="Times New Roman" w:hAnsi="Times New Roman" w:eastAsia="方正仿宋_GBK" w:cs="Times New Roman"/>
          <w:b w:val="0"/>
          <w:bCs w:val="0"/>
          <w:caps w:val="0"/>
          <w:color w:val="auto"/>
          <w:kern w:val="2"/>
          <w:sz w:val="32"/>
          <w:szCs w:val="32"/>
          <w:highlight w:val="none"/>
          <w:lang w:val="en-US" w:eastAsia="zh-CN" w:bidi="ar"/>
        </w:rPr>
        <w:t>、</w:t>
      </w:r>
      <w:r>
        <w:rPr>
          <w:rFonts w:hint="default" w:ascii="Times New Roman" w:hAnsi="Times New Roman" w:eastAsia="方正仿宋_GBK" w:cs="Times New Roman"/>
          <w:b w:val="0"/>
          <w:bCs w:val="0"/>
          <w:caps w:val="0"/>
          <w:color w:val="auto"/>
          <w:kern w:val="2"/>
          <w:sz w:val="32"/>
          <w:szCs w:val="32"/>
          <w:highlight w:val="none"/>
          <w:lang w:val="en-US" w:eastAsia="zh-CN" w:bidi="ar"/>
        </w:rPr>
        <w:t>都督乡、太平坝乡全域；仙女湖镇除厢坝组团外其余区域。</w:t>
      </w:r>
    </w:p>
    <w:p w14:paraId="2BCB3AD4">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aps w:val="0"/>
          <w:color w:val="auto"/>
          <w:kern w:val="2"/>
          <w:sz w:val="32"/>
          <w:szCs w:val="32"/>
          <w:highlight w:val="none"/>
          <w:lang w:val="en-US" w:eastAsia="zh-CN" w:bidi="ar"/>
        </w:rPr>
      </w:pPr>
      <w:r>
        <w:rPr>
          <w:rFonts w:hint="default" w:ascii="Times New Roman" w:hAnsi="Times New Roman" w:eastAsia="方正仿宋_GBK" w:cs="Times New Roman"/>
          <w:b w:val="0"/>
          <w:bCs w:val="0"/>
          <w:caps w:val="0"/>
          <w:color w:val="auto"/>
          <w:kern w:val="2"/>
          <w:sz w:val="32"/>
          <w:szCs w:val="32"/>
          <w:highlight w:val="none"/>
          <w:lang w:val="en-US" w:eastAsia="zh-CN" w:bidi="ar"/>
        </w:rPr>
        <w:t>（二</w:t>
      </w:r>
      <w:r>
        <w:rPr>
          <w:rFonts w:hint="eastAsia" w:ascii="Times New Roman" w:hAnsi="Times New Roman" w:eastAsia="方正仿宋_GBK" w:cs="Times New Roman"/>
          <w:b w:val="0"/>
          <w:bCs w:val="0"/>
          <w:caps w:val="0"/>
          <w:color w:val="auto"/>
          <w:kern w:val="2"/>
          <w:sz w:val="32"/>
          <w:szCs w:val="32"/>
          <w:highlight w:val="none"/>
          <w:lang w:val="en-US" w:eastAsia="zh-CN" w:bidi="ar"/>
        </w:rPr>
        <w:t xml:space="preserve">） </w:t>
      </w:r>
      <w:r>
        <w:rPr>
          <w:rFonts w:hint="default" w:ascii="Times New Roman" w:hAnsi="Times New Roman" w:eastAsia="方正仿宋_GBK" w:cs="Times New Roman"/>
          <w:b w:val="0"/>
          <w:bCs w:val="0"/>
          <w:caps w:val="0"/>
          <w:color w:val="auto"/>
          <w:kern w:val="2"/>
          <w:sz w:val="32"/>
          <w:szCs w:val="32"/>
          <w:highlight w:val="none"/>
          <w:lang w:val="en-US" w:eastAsia="zh-CN" w:bidi="ar"/>
        </w:rPr>
        <w:t>若征地机构前期根据用地协议直接收取了征地费用的，则在后期用地单位申请办理划拨土地手续时</w:t>
      </w:r>
      <w:r>
        <w:rPr>
          <w:rFonts w:hint="eastAsia" w:ascii="Times New Roman" w:hAnsi="Times New Roman" w:eastAsia="方正仿宋_GBK" w:cs="Times New Roman"/>
          <w:b w:val="0"/>
          <w:bCs w:val="0"/>
          <w:caps w:val="0"/>
          <w:color w:val="auto"/>
          <w:kern w:val="2"/>
          <w:sz w:val="32"/>
          <w:szCs w:val="32"/>
          <w:highlight w:val="none"/>
          <w:lang w:val="en-US" w:eastAsia="zh-CN" w:bidi="ar"/>
        </w:rPr>
        <w:t>，</w:t>
      </w:r>
      <w:r>
        <w:rPr>
          <w:rFonts w:hint="default" w:ascii="Times New Roman" w:hAnsi="Times New Roman" w:eastAsia="方正仿宋_GBK" w:cs="Times New Roman"/>
          <w:b w:val="0"/>
          <w:bCs w:val="0"/>
          <w:caps w:val="0"/>
          <w:color w:val="auto"/>
          <w:kern w:val="2"/>
          <w:sz w:val="32"/>
          <w:szCs w:val="32"/>
          <w:highlight w:val="none"/>
          <w:lang w:val="en-US" w:eastAsia="zh-CN" w:bidi="ar"/>
        </w:rPr>
        <w:t>由征地（收）机构或者土地储备机构、有关议事协调机构代为缴纳划拨土地成本。</w:t>
      </w:r>
    </w:p>
    <w:p w14:paraId="2F2E3D0C">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aps w:val="0"/>
          <w:color w:val="auto"/>
          <w:kern w:val="2"/>
          <w:sz w:val="32"/>
          <w:szCs w:val="32"/>
          <w:highlight w:val="none"/>
          <w:lang w:val="en-US" w:eastAsia="zh-CN" w:bidi="ar"/>
        </w:rPr>
      </w:pPr>
      <w:r>
        <w:rPr>
          <w:rFonts w:hint="default" w:ascii="Times New Roman" w:hAnsi="Times New Roman" w:eastAsia="方正仿宋_GBK" w:cs="Times New Roman"/>
          <w:b w:val="0"/>
          <w:bCs w:val="0"/>
          <w:caps w:val="0"/>
          <w:color w:val="auto"/>
          <w:kern w:val="2"/>
          <w:sz w:val="32"/>
          <w:szCs w:val="32"/>
          <w:highlight w:val="none"/>
          <w:lang w:val="en-US" w:eastAsia="zh-CN" w:bidi="ar"/>
        </w:rPr>
        <w:t>（三）以下项目在办理划拨审批时可不缴纳划拨土地价款：</w:t>
      </w:r>
    </w:p>
    <w:p w14:paraId="04B366B4">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eastAsia" w:ascii="Times New Roman" w:hAnsi="Times New Roman" w:eastAsia="方正仿宋_GBK" w:cs="Times New Roman"/>
          <w:b w:val="0"/>
          <w:bCs w:val="0"/>
          <w:caps w:val="0"/>
          <w:color w:val="auto"/>
          <w:kern w:val="2"/>
          <w:sz w:val="32"/>
          <w:szCs w:val="32"/>
          <w:highlight w:val="none"/>
          <w:lang w:val="en-US" w:eastAsia="zh-CN" w:bidi="ar"/>
        </w:rPr>
      </w:pPr>
      <w:r>
        <w:rPr>
          <w:rFonts w:hint="default" w:ascii="Times New Roman" w:hAnsi="Times New Roman" w:eastAsia="方正仿宋_GBK" w:cs="Times New Roman"/>
          <w:b w:val="0"/>
          <w:bCs w:val="0"/>
          <w:caps w:val="0"/>
          <w:color w:val="auto"/>
          <w:kern w:val="2"/>
          <w:sz w:val="32"/>
          <w:szCs w:val="32"/>
          <w:highlight w:val="none"/>
          <w:lang w:val="en-US" w:eastAsia="zh-CN" w:bidi="ar"/>
        </w:rPr>
        <w:t>1.城市道路、公共绿化（公园除外）划拨用地项目，且供地主体单位出具相关土地成本分摊证明或分摊承诺的</w:t>
      </w:r>
      <w:r>
        <w:rPr>
          <w:rFonts w:hint="eastAsia" w:ascii="Times New Roman" w:hAnsi="Times New Roman" w:eastAsia="方正仿宋_GBK" w:cs="Times New Roman"/>
          <w:b w:val="0"/>
          <w:bCs w:val="0"/>
          <w:caps w:val="0"/>
          <w:color w:val="auto"/>
          <w:kern w:val="2"/>
          <w:sz w:val="32"/>
          <w:szCs w:val="32"/>
          <w:highlight w:val="none"/>
          <w:lang w:val="en-US" w:eastAsia="zh-CN" w:bidi="ar"/>
        </w:rPr>
        <w:t>。</w:t>
      </w:r>
    </w:p>
    <w:p w14:paraId="2D4139B3">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aps w:val="0"/>
          <w:color w:val="auto"/>
          <w:kern w:val="2"/>
          <w:sz w:val="32"/>
          <w:szCs w:val="32"/>
          <w:highlight w:val="none"/>
          <w:lang w:val="en-US" w:eastAsia="zh-CN" w:bidi="ar"/>
        </w:rPr>
      </w:pPr>
      <w:r>
        <w:rPr>
          <w:rFonts w:hint="default" w:ascii="Times New Roman" w:hAnsi="Times New Roman" w:eastAsia="方正仿宋_GBK" w:cs="Times New Roman"/>
          <w:b w:val="0"/>
          <w:bCs w:val="0"/>
          <w:caps w:val="0"/>
          <w:color w:val="auto"/>
          <w:kern w:val="2"/>
          <w:sz w:val="32"/>
          <w:szCs w:val="32"/>
          <w:highlight w:val="none"/>
          <w:lang w:val="en-US" w:eastAsia="zh-CN" w:bidi="ar"/>
        </w:rPr>
        <w:t>2.自有土地权属范围内新建或者改扩建项目，且符合划拨目录或继续保留划拨用地方式的。</w:t>
      </w:r>
    </w:p>
    <w:p w14:paraId="1439B5AA">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aps w:val="0"/>
          <w:color w:val="auto"/>
          <w:kern w:val="2"/>
          <w:sz w:val="32"/>
          <w:szCs w:val="32"/>
          <w:highlight w:val="none"/>
          <w:lang w:val="en-US" w:eastAsia="zh-CN" w:bidi="ar"/>
        </w:rPr>
      </w:pPr>
      <w:r>
        <w:rPr>
          <w:rFonts w:hint="default" w:ascii="Times New Roman" w:hAnsi="Times New Roman" w:eastAsia="方正仿宋_GBK" w:cs="Times New Roman"/>
          <w:b w:val="0"/>
          <w:bCs w:val="0"/>
          <w:caps w:val="0"/>
          <w:color w:val="auto"/>
          <w:kern w:val="2"/>
          <w:sz w:val="32"/>
          <w:szCs w:val="32"/>
          <w:highlight w:val="none"/>
          <w:lang w:val="en-US" w:eastAsia="zh-CN" w:bidi="ar"/>
        </w:rPr>
        <w:t>3.国家及市级明确规定可不缴纳划拨成本的项目（未分摊土地成本的除外），可按上级文件执行免缴政策。</w:t>
      </w:r>
    </w:p>
    <w:p w14:paraId="34F68031">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eastAsia" w:ascii="Times New Roman" w:hAnsi="Times New Roman" w:eastAsia="方正仿宋_GBK" w:cs="Times New Roman"/>
          <w:b w:val="0"/>
          <w:bCs w:val="0"/>
          <w:caps w:val="0"/>
          <w:color w:val="auto"/>
          <w:kern w:val="2"/>
          <w:sz w:val="32"/>
          <w:szCs w:val="32"/>
          <w:highlight w:val="none"/>
          <w:lang w:val="en-US" w:eastAsia="zh-CN" w:bidi="ar"/>
        </w:rPr>
      </w:pPr>
      <w:r>
        <w:rPr>
          <w:rFonts w:hint="eastAsia" w:ascii="Times New Roman" w:hAnsi="Times New Roman" w:eastAsia="方正仿宋_GBK" w:cs="Times New Roman"/>
          <w:b w:val="0"/>
          <w:bCs w:val="0"/>
          <w:caps w:val="0"/>
          <w:color w:val="auto"/>
          <w:kern w:val="2"/>
          <w:sz w:val="32"/>
          <w:szCs w:val="32"/>
          <w:highlight w:val="none"/>
          <w:lang w:val="en-US" w:eastAsia="zh-CN" w:bidi="ar"/>
        </w:rPr>
        <w:t>二、其他事项</w:t>
      </w:r>
    </w:p>
    <w:p w14:paraId="2BB39F3E">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aps w:val="0"/>
          <w:color w:val="auto"/>
          <w:kern w:val="2"/>
          <w:sz w:val="32"/>
          <w:szCs w:val="32"/>
          <w:highlight w:val="none"/>
          <w:lang w:val="en-US" w:eastAsia="zh-CN" w:bidi="ar"/>
        </w:rPr>
      </w:pPr>
      <w:r>
        <w:rPr>
          <w:rFonts w:hint="default" w:ascii="Times New Roman" w:hAnsi="Times New Roman" w:eastAsia="方正仿宋_GBK" w:cs="Times New Roman"/>
          <w:b w:val="0"/>
          <w:bCs w:val="0"/>
          <w:caps w:val="0"/>
          <w:color w:val="auto"/>
          <w:kern w:val="2"/>
          <w:sz w:val="32"/>
          <w:szCs w:val="32"/>
          <w:highlight w:val="none"/>
          <w:lang w:val="en-US" w:eastAsia="zh-CN" w:bidi="ar"/>
        </w:rPr>
        <w:t>（一）对已纳入政府投资计划目录、已取得投资主管部门立项批复（核准、备案）的，按照上述对应指导标准核算划拨土地价款后，直接上报审批用地手续。</w:t>
      </w:r>
    </w:p>
    <w:p w14:paraId="38B5C977">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aps w:val="0"/>
          <w:color w:val="auto"/>
          <w:kern w:val="2"/>
          <w:sz w:val="32"/>
          <w:szCs w:val="32"/>
          <w:highlight w:val="none"/>
          <w:lang w:val="en-US" w:eastAsia="zh-CN" w:bidi="ar"/>
        </w:rPr>
      </w:pPr>
      <w:r>
        <w:rPr>
          <w:rFonts w:hint="default" w:ascii="Times New Roman" w:hAnsi="Times New Roman" w:eastAsia="方正仿宋_GBK" w:cs="Times New Roman"/>
          <w:b w:val="0"/>
          <w:bCs w:val="0"/>
          <w:caps w:val="0"/>
          <w:color w:val="auto"/>
          <w:kern w:val="2"/>
          <w:sz w:val="32"/>
          <w:szCs w:val="32"/>
          <w:highlight w:val="none"/>
          <w:lang w:val="en-US" w:eastAsia="zh-CN" w:bidi="ar"/>
        </w:rPr>
        <w:t>（二）县财政局、县规划自然资源局会同县征地事务中心</w:t>
      </w:r>
      <w:r>
        <w:rPr>
          <w:rFonts w:hint="eastAsia" w:ascii="Times New Roman" w:hAnsi="Times New Roman" w:eastAsia="方正仿宋_GBK" w:cs="Times New Roman"/>
          <w:b w:val="0"/>
          <w:bCs w:val="0"/>
          <w:caps w:val="0"/>
          <w:color w:val="auto"/>
          <w:kern w:val="2"/>
          <w:sz w:val="32"/>
          <w:szCs w:val="32"/>
          <w:highlight w:val="none"/>
          <w:lang w:val="en-US" w:eastAsia="zh-CN" w:bidi="ar"/>
        </w:rPr>
        <w:t>及</w:t>
      </w:r>
      <w:r>
        <w:rPr>
          <w:rFonts w:hint="default" w:ascii="Times New Roman" w:hAnsi="Times New Roman" w:eastAsia="方正仿宋_GBK" w:cs="Times New Roman"/>
          <w:b w:val="0"/>
          <w:bCs w:val="0"/>
          <w:caps w:val="0"/>
          <w:color w:val="auto"/>
          <w:kern w:val="2"/>
          <w:sz w:val="32"/>
          <w:szCs w:val="32"/>
          <w:highlight w:val="none"/>
          <w:lang w:val="en-US" w:eastAsia="zh-CN" w:bidi="ar"/>
        </w:rPr>
        <w:t>有关整治实施机构，指导项目用地单位做好划拨土地价款缴纳工作，对具体执行中遇</w:t>
      </w:r>
      <w:r>
        <w:rPr>
          <w:rFonts w:hint="eastAsia" w:ascii="Times New Roman" w:hAnsi="Times New Roman" w:eastAsia="方正仿宋_GBK" w:cs="Times New Roman"/>
          <w:b w:val="0"/>
          <w:bCs w:val="0"/>
          <w:caps w:val="0"/>
          <w:color w:val="auto"/>
          <w:kern w:val="2"/>
          <w:sz w:val="32"/>
          <w:szCs w:val="32"/>
          <w:highlight w:val="none"/>
          <w:lang w:val="en-US" w:eastAsia="zh-CN" w:bidi="ar"/>
        </w:rPr>
        <w:t>到的</w:t>
      </w:r>
      <w:r>
        <w:rPr>
          <w:rFonts w:hint="default" w:ascii="Times New Roman" w:hAnsi="Times New Roman" w:eastAsia="方正仿宋_GBK" w:cs="Times New Roman"/>
          <w:b w:val="0"/>
          <w:bCs w:val="0"/>
          <w:caps w:val="0"/>
          <w:color w:val="auto"/>
          <w:kern w:val="2"/>
          <w:sz w:val="32"/>
          <w:szCs w:val="32"/>
          <w:highlight w:val="none"/>
          <w:lang w:val="en-US" w:eastAsia="zh-CN" w:bidi="ar"/>
        </w:rPr>
        <w:t>问题应及时报县政府研究。</w:t>
      </w:r>
    </w:p>
    <w:p w14:paraId="00DF83D6">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aps w:val="0"/>
          <w:color w:val="auto"/>
          <w:kern w:val="2"/>
          <w:sz w:val="32"/>
          <w:szCs w:val="32"/>
          <w:highlight w:val="none"/>
          <w:lang w:val="en-US" w:eastAsia="zh-CN" w:bidi="ar"/>
        </w:rPr>
      </w:pPr>
      <w:r>
        <w:rPr>
          <w:rFonts w:hint="default" w:ascii="Times New Roman" w:hAnsi="Times New Roman" w:eastAsia="方正仿宋_GBK" w:cs="Times New Roman"/>
          <w:b w:val="0"/>
          <w:bCs w:val="0"/>
          <w:caps w:val="0"/>
          <w:color w:val="auto"/>
          <w:kern w:val="2"/>
          <w:sz w:val="32"/>
          <w:szCs w:val="32"/>
          <w:highlight w:val="none"/>
          <w:lang w:val="en-US" w:eastAsia="zh-CN" w:bidi="ar"/>
        </w:rPr>
        <w:t>（三）如遇用地单位申请按照低于本通知划拨土地价款划拨土地等特殊情形需</w:t>
      </w:r>
      <w:r>
        <w:rPr>
          <w:rFonts w:hint="eastAsia" w:ascii="Times New Roman" w:hAnsi="Times New Roman" w:eastAsia="方正仿宋_GBK" w:cs="Times New Roman"/>
          <w:b w:val="0"/>
          <w:bCs w:val="0"/>
          <w:caps w:val="0"/>
          <w:color w:val="auto"/>
          <w:kern w:val="2"/>
          <w:sz w:val="32"/>
          <w:szCs w:val="32"/>
          <w:highlight w:val="none"/>
          <w:lang w:val="en-US" w:eastAsia="zh-CN" w:bidi="ar"/>
        </w:rPr>
        <w:t>“</w:t>
      </w:r>
      <w:r>
        <w:rPr>
          <w:rFonts w:hint="default" w:ascii="Times New Roman" w:hAnsi="Times New Roman" w:eastAsia="方正仿宋_GBK" w:cs="Times New Roman"/>
          <w:b w:val="0"/>
          <w:bCs w:val="0"/>
          <w:caps w:val="0"/>
          <w:color w:val="auto"/>
          <w:kern w:val="2"/>
          <w:sz w:val="32"/>
          <w:szCs w:val="32"/>
          <w:highlight w:val="none"/>
          <w:lang w:val="en-US" w:eastAsia="zh-CN" w:bidi="ar"/>
        </w:rPr>
        <w:t>一事一议</w:t>
      </w:r>
      <w:r>
        <w:rPr>
          <w:rFonts w:hint="eastAsia" w:ascii="Times New Roman" w:hAnsi="Times New Roman" w:eastAsia="方正仿宋_GBK" w:cs="Times New Roman"/>
          <w:b w:val="0"/>
          <w:bCs w:val="0"/>
          <w:caps w:val="0"/>
          <w:color w:val="auto"/>
          <w:kern w:val="2"/>
          <w:sz w:val="32"/>
          <w:szCs w:val="32"/>
          <w:highlight w:val="none"/>
          <w:lang w:val="en-US" w:eastAsia="zh-CN" w:bidi="ar"/>
        </w:rPr>
        <w:t>”</w:t>
      </w:r>
      <w:r>
        <w:rPr>
          <w:rFonts w:hint="default" w:ascii="Times New Roman" w:hAnsi="Times New Roman" w:eastAsia="方正仿宋_GBK" w:cs="Times New Roman"/>
          <w:b w:val="0"/>
          <w:bCs w:val="0"/>
          <w:caps w:val="0"/>
          <w:color w:val="auto"/>
          <w:kern w:val="2"/>
          <w:sz w:val="32"/>
          <w:szCs w:val="32"/>
          <w:highlight w:val="none"/>
          <w:lang w:val="en-US" w:eastAsia="zh-CN" w:bidi="ar"/>
        </w:rPr>
        <w:t>，应按程序报县政府决策后，按议定意见办理。</w:t>
      </w:r>
    </w:p>
    <w:p w14:paraId="44914D8B">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aps w:val="0"/>
          <w:color w:val="auto"/>
          <w:kern w:val="2"/>
          <w:sz w:val="32"/>
          <w:szCs w:val="32"/>
          <w:highlight w:val="none"/>
          <w:lang w:val="en-US" w:eastAsia="zh-CN" w:bidi="ar"/>
        </w:rPr>
      </w:pPr>
      <w:r>
        <w:rPr>
          <w:rFonts w:hint="default" w:ascii="Times New Roman" w:hAnsi="Times New Roman" w:eastAsia="方正仿宋_GBK" w:cs="Times New Roman"/>
          <w:b w:val="0"/>
          <w:bCs w:val="0"/>
          <w:caps w:val="0"/>
          <w:color w:val="auto"/>
          <w:kern w:val="2"/>
          <w:sz w:val="32"/>
          <w:szCs w:val="32"/>
          <w:highlight w:val="none"/>
          <w:lang w:val="en-US" w:eastAsia="zh-CN" w:bidi="ar"/>
        </w:rPr>
        <w:t>（四）土地划拨地价原则上2年调整一次，县政府可依据经济发展状况和征地补偿、土地报批等土地取得成本的变化，适时调整划拨土地价款指导标准。</w:t>
      </w:r>
    </w:p>
    <w:p w14:paraId="3A417294">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70" w:lineRule="exact"/>
        <w:ind w:left="0" w:leftChars="0" w:right="0" w:rightChars="0" w:firstLine="640" w:firstLineChars="200"/>
        <w:jc w:val="both"/>
        <w:textAlignment w:val="auto"/>
        <w:outlineLvl w:val="9"/>
        <w:rPr>
          <w:rFonts w:hint="default" w:ascii="Times New Roman" w:hAnsi="Times New Roman" w:eastAsia="方正仿宋_GBK" w:cs="Times New Roman"/>
          <w:caps w:val="0"/>
          <w:color w:val="auto"/>
          <w:sz w:val="32"/>
          <w:szCs w:val="32"/>
          <w:highlight w:val="none"/>
          <w:lang w:val="en-US" w:eastAsia="zh-CN"/>
        </w:rPr>
      </w:pPr>
      <w:r>
        <w:rPr>
          <w:rFonts w:hint="default" w:ascii="Times New Roman" w:hAnsi="Times New Roman" w:eastAsia="方正仿宋_GBK" w:cs="Times New Roman"/>
          <w:b w:val="0"/>
          <w:bCs w:val="0"/>
          <w:caps w:val="0"/>
          <w:color w:val="auto"/>
          <w:kern w:val="2"/>
          <w:sz w:val="32"/>
          <w:szCs w:val="32"/>
          <w:highlight w:val="none"/>
          <w:lang w:val="en-US" w:eastAsia="zh-CN" w:bidi="ar"/>
        </w:rPr>
        <w:t>（五）本通知自印发之日起正式实施。执行前已受理的划拨项目，仍按原政策执行。</w:t>
      </w:r>
    </w:p>
    <w:p w14:paraId="24C0658C">
      <w:pPr>
        <w:pStyle w:val="2"/>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方正黑体_GBK" w:cs="Times New Roman"/>
          <w:color w:val="000000" w:themeColor="text1"/>
          <w:spacing w:val="1"/>
          <w:sz w:val="32"/>
          <w:szCs w:val="32"/>
          <w14:textFill>
            <w14:solidFill>
              <w14:schemeClr w14:val="tx1"/>
            </w14:solidFill>
          </w14:textFill>
        </w:rPr>
      </w:pPr>
    </w:p>
    <w:p w14:paraId="06CC84D2">
      <w:pPr>
        <w:pStyle w:val="2"/>
        <w:keepNext w:val="0"/>
        <w:keepLines w:val="0"/>
        <w:pageBreakBefore w:val="0"/>
        <w:widowControl w:val="0"/>
        <w:kinsoku/>
        <w:wordWrap/>
        <w:overflowPunct/>
        <w:topLinePunct w:val="0"/>
        <w:autoSpaceDE w:val="0"/>
        <w:autoSpaceDN w:val="0"/>
        <w:bidi w:val="0"/>
        <w:adjustRightInd/>
        <w:snapToGrid/>
        <w:spacing w:line="560" w:lineRule="exact"/>
        <w:ind w:firstLine="644" w:firstLineChars="200"/>
        <w:textAlignment w:val="auto"/>
        <w:rPr>
          <w:rFonts w:hint="default" w:ascii="Times New Roman" w:hAnsi="Times New Roman" w:eastAsia="方正仿宋_GBK" w:cs="Times New Roman"/>
          <w:color w:val="000000" w:themeColor="text1"/>
          <w:spacing w:val="1"/>
          <w:sz w:val="32"/>
          <w:szCs w:val="32"/>
          <w14:textFill>
            <w14:solidFill>
              <w14:schemeClr w14:val="tx1"/>
            </w14:solidFill>
          </w14:textFill>
        </w:rPr>
      </w:pPr>
    </w:p>
    <w:sectPr>
      <w:headerReference r:id="rId3" w:type="default"/>
      <w:footerReference r:id="rId4" w:type="default"/>
      <w:pgSz w:w="11906" w:h="16838"/>
      <w:pgMar w:top="1962" w:right="1474" w:bottom="1962"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7985B">
    <w:pPr>
      <w:pStyle w:val="9"/>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6138ECA">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8"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qIGU4AgAAcA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IqogZTgCAABwBAAADgAAAAAAAAABACAAAAAfAQAAZHJzL2Uyb0RvYy54&#10;bWxQSwUGAAAAAAYABgBZAQAAyQUAAAAA&#10;">
              <v:fill on="f" focussize="0,0"/>
              <v:stroke on="f" weight="0.5pt"/>
              <v:imagedata o:title=""/>
              <o:lock v:ext="edit" aspectratio="f"/>
              <v:textbox inset="0mm,0mm,0mm,0mm" style="mso-fit-shape-to-text:t;">
                <w:txbxContent>
                  <w:p w14:paraId="16138ECA">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- 3 -</w:t>
                    </w:r>
                    <w:r>
                      <w:rPr>
                        <w:rFonts w:hint="eastAsia" w:ascii="宋体" w:hAnsi="宋体" w:eastAsia="宋体" w:cs="宋体"/>
                        <w:sz w:val="28"/>
                        <w:szCs w:val="28"/>
                      </w:rPr>
                      <w:fldChar w:fldCharType="end"/>
                    </w:r>
                  </w:p>
                </w:txbxContent>
              </v:textbox>
            </v:shape>
          </w:pict>
        </mc:Fallback>
      </mc:AlternateContent>
    </w:r>
  </w:p>
  <w:p w14:paraId="300010A0">
    <w:pPr>
      <w:pStyle w:val="9"/>
      <w:wordWrap w:val="0"/>
      <w:ind w:left="3786" w:leftChars="1803" w:firstLine="7398" w:firstLineChars="2312"/>
      <w:jc w:val="right"/>
      <w:rPr>
        <w:color w:val="FAFAFA"/>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5940" cy="1905"/>
              <wp:effectExtent l="0" t="10795" r="3810" b="15875"/>
              <wp:wrapNone/>
              <wp:docPr id="12"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5" o:spid="_x0000_s1026" o:spt="20" style="position:absolute;left:0pt;margin-left:0pt;margin-top:5.85pt;height:0.15pt;width:442.2pt;z-index:251660288;mso-width-relative:page;mso-height-relative:page;" filled="f" stroked="t" coordsize="21600,21600" o:gfxdata="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K8&#10;Kb/TAAAABgEAAA8AAAAAAAAAAQAgAAAAIgAAAGRycy9kb3ducmV2LnhtbFBLAQIUABQAAAAIAIdO&#10;4kBK/77a7wEAAMQDAAAOAAAAAAAAAAEAIAAAACIBAABkcnMvZTJvRG9jLnhtbFBLBQYAAAAABgAG&#10;AFkBAACDBQAAAAA=&#10;">
              <v:fill on="f" focussize="0,0"/>
              <v:stroke weight="1.75pt" color="#005192" miterlimit="8" joinstyle="miter"/>
              <v:imagedata o:title=""/>
              <o:lock v:ext="edit" aspectratio="f"/>
            </v:line>
          </w:pict>
        </mc:Fallback>
      </mc:AlternateContent>
    </w:r>
  </w:p>
  <w:p w14:paraId="137C4589">
    <w:pPr>
      <w:pStyle w:val="9"/>
      <w:keepNext w:val="0"/>
      <w:keepLines w:val="0"/>
      <w:pageBreakBefore w:val="0"/>
      <w:widowControl w:val="0"/>
      <w:kinsoku/>
      <w:wordWrap w:val="0"/>
      <w:overflowPunct/>
      <w:topLinePunct w:val="0"/>
      <w:bidi w:val="0"/>
      <w:adjustRightInd/>
      <w:snapToGrid w:val="0"/>
      <w:jc w:val="right"/>
      <w:textAlignment w:val="auto"/>
      <w:rPr>
        <w:rFonts w:ascii="宋体" w:hAnsi="宋体" w:eastAsia="宋体" w:cs="宋体"/>
        <w:b/>
        <w:bCs/>
        <w:color w:val="005192"/>
        <w:sz w:val="28"/>
        <w:szCs w:val="44"/>
      </w:rPr>
    </w:pPr>
    <w:r>
      <w:rPr>
        <w:rFonts w:hint="eastAsia" w:ascii="宋体" w:hAnsi="宋体" w:eastAsia="宋体" w:cs="宋体"/>
        <w:b/>
        <w:bCs/>
        <w:color w:val="005192"/>
        <w:sz w:val="28"/>
        <w:szCs w:val="44"/>
      </w:rPr>
      <w:t xml:space="preserve">重庆市丰都县人民政府办公室发布     </w:t>
    </w:r>
  </w:p>
  <w:p w14:paraId="552FA6E3">
    <w:pPr>
      <w:pStyle w:val="9"/>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8FF9E">
    <w:pPr>
      <w:pStyle w:val="9"/>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19750" cy="0"/>
              <wp:effectExtent l="0" t="10795" r="0" b="17780"/>
              <wp:wrapNone/>
              <wp:docPr id="11"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4" o:spid="_x0000_s1026" o:spt="20" style="position:absolute;left:0pt;margin-left:0pt;margin-top:54.35pt;height:0pt;width:442.5pt;z-index:251659264;mso-width-relative:page;mso-height-relative:page;" filled="f" stroked="t" coordsize="21600,21600" o:gfxdata="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CrsUa3TAAAACAEAAA8AAAAAAAAAAQAgAAAAIgAAAGRycy9kb3ducmV2LnhtbFBLAQIU&#10;ABQAAAAIAIdO4kBUSnrh+AEAAMwDAAAOAAAAAAAAAAEAIAAAACIBAABkcnMvZTJvRG9jLnhtbFBL&#10;BQYAAAAABgAGAFkBAACMBQAAAAA=&#10;">
              <v:fill on="f" focussize="0,0"/>
              <v:stroke weight="1.75pt" color="#005192" miterlimit="8" joinstyle="miter"/>
              <v:imagedata o:title=""/>
              <o:lock v:ext="edit" aspectratio="f"/>
            </v:line>
          </w:pict>
        </mc:Fallback>
      </mc:AlternateContent>
    </w:r>
  </w:p>
  <w:p w14:paraId="1E4B988A">
    <w:pPr>
      <w:pStyle w:val="9"/>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重庆市丰都县人民政府行政</w:t>
    </w:r>
    <w:r>
      <w:rPr>
        <w:rFonts w:hint="eastAsia" w:ascii="宋体" w:hAnsi="宋体" w:eastAsia="宋体" w:cs="宋体"/>
        <w:b/>
        <w:bCs/>
        <w:color w:val="005192"/>
        <w:sz w:val="32"/>
        <w:szCs w:val="32"/>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yYmU5NzY4YzY1OTQzMTZlOGFlODU1YjNlNzA2YzcifQ=="/>
  </w:docVars>
  <w:rsids>
    <w:rsidRoot w:val="00172A27"/>
    <w:rsid w:val="00165C01"/>
    <w:rsid w:val="00172A27"/>
    <w:rsid w:val="0026538E"/>
    <w:rsid w:val="003B6294"/>
    <w:rsid w:val="00443A92"/>
    <w:rsid w:val="00550976"/>
    <w:rsid w:val="00865736"/>
    <w:rsid w:val="008D52D8"/>
    <w:rsid w:val="008F49A7"/>
    <w:rsid w:val="00901516"/>
    <w:rsid w:val="00963409"/>
    <w:rsid w:val="0097364E"/>
    <w:rsid w:val="009E4759"/>
    <w:rsid w:val="009F196C"/>
    <w:rsid w:val="00DA4363"/>
    <w:rsid w:val="019E71BD"/>
    <w:rsid w:val="037D1AEC"/>
    <w:rsid w:val="041C42DA"/>
    <w:rsid w:val="04B679C3"/>
    <w:rsid w:val="05F07036"/>
    <w:rsid w:val="06E00104"/>
    <w:rsid w:val="080F63D8"/>
    <w:rsid w:val="09341458"/>
    <w:rsid w:val="098254C2"/>
    <w:rsid w:val="0A766EDE"/>
    <w:rsid w:val="0AD64BE8"/>
    <w:rsid w:val="0B0912D7"/>
    <w:rsid w:val="0C7513FA"/>
    <w:rsid w:val="0D4416C2"/>
    <w:rsid w:val="0D9A50E8"/>
    <w:rsid w:val="0E025194"/>
    <w:rsid w:val="12FA73D6"/>
    <w:rsid w:val="1319358D"/>
    <w:rsid w:val="152D2DCA"/>
    <w:rsid w:val="179370AC"/>
    <w:rsid w:val="187168EA"/>
    <w:rsid w:val="18E55CEF"/>
    <w:rsid w:val="196673CA"/>
    <w:rsid w:val="1AC21F41"/>
    <w:rsid w:val="1B2F4AEE"/>
    <w:rsid w:val="1CF734C9"/>
    <w:rsid w:val="1DEC284C"/>
    <w:rsid w:val="1E6523AC"/>
    <w:rsid w:val="22440422"/>
    <w:rsid w:val="22BB4BBB"/>
    <w:rsid w:val="29150806"/>
    <w:rsid w:val="2A4C2BDF"/>
    <w:rsid w:val="2AEB3417"/>
    <w:rsid w:val="2BFB13E0"/>
    <w:rsid w:val="2E7B51CF"/>
    <w:rsid w:val="31A15F24"/>
    <w:rsid w:val="324A1681"/>
    <w:rsid w:val="33F87EE6"/>
    <w:rsid w:val="36AC2C0E"/>
    <w:rsid w:val="36FB1DF0"/>
    <w:rsid w:val="37F039D3"/>
    <w:rsid w:val="395347B5"/>
    <w:rsid w:val="39A232A0"/>
    <w:rsid w:val="39E745AA"/>
    <w:rsid w:val="3B5A6BBB"/>
    <w:rsid w:val="3EDA13A6"/>
    <w:rsid w:val="412B79D0"/>
    <w:rsid w:val="417B75E9"/>
    <w:rsid w:val="42F058B7"/>
    <w:rsid w:val="436109F6"/>
    <w:rsid w:val="441A38D4"/>
    <w:rsid w:val="4504239D"/>
    <w:rsid w:val="467A20E0"/>
    <w:rsid w:val="49114174"/>
    <w:rsid w:val="4B2A7653"/>
    <w:rsid w:val="4BC77339"/>
    <w:rsid w:val="4BED09BF"/>
    <w:rsid w:val="4C9236C5"/>
    <w:rsid w:val="4E250A85"/>
    <w:rsid w:val="4FFD4925"/>
    <w:rsid w:val="505C172E"/>
    <w:rsid w:val="506405EA"/>
    <w:rsid w:val="52F46F0B"/>
    <w:rsid w:val="532B6A10"/>
    <w:rsid w:val="53D8014D"/>
    <w:rsid w:val="55E064E0"/>
    <w:rsid w:val="572C6D10"/>
    <w:rsid w:val="5C111654"/>
    <w:rsid w:val="5DC34279"/>
    <w:rsid w:val="5FCD688E"/>
    <w:rsid w:val="5FF9BDAA"/>
    <w:rsid w:val="5FFE5333"/>
    <w:rsid w:val="608816D1"/>
    <w:rsid w:val="60EF4E7F"/>
    <w:rsid w:val="62167BDF"/>
    <w:rsid w:val="631502AE"/>
    <w:rsid w:val="648B0A32"/>
    <w:rsid w:val="665233C1"/>
    <w:rsid w:val="69AC0D42"/>
    <w:rsid w:val="6AD9688B"/>
    <w:rsid w:val="6B2D65E4"/>
    <w:rsid w:val="6D0E3F22"/>
    <w:rsid w:val="6DFF675D"/>
    <w:rsid w:val="6FD74555"/>
    <w:rsid w:val="71397275"/>
    <w:rsid w:val="744E4660"/>
    <w:rsid w:val="75002E9F"/>
    <w:rsid w:val="753355A2"/>
    <w:rsid w:val="759F1C61"/>
    <w:rsid w:val="769F2DE8"/>
    <w:rsid w:val="76FDEB7C"/>
    <w:rsid w:val="79C65162"/>
    <w:rsid w:val="7B095F0A"/>
    <w:rsid w:val="7C9011D9"/>
    <w:rsid w:val="7DC651C5"/>
    <w:rsid w:val="7DF350ED"/>
    <w:rsid w:val="7EA253F9"/>
    <w:rsid w:val="7F9DA0E8"/>
    <w:rsid w:val="7FCC2834"/>
    <w:rsid w:val="7FF6A4EF"/>
    <w:rsid w:val="92DD1CEF"/>
    <w:rsid w:val="F05B4F69"/>
    <w:rsid w:val="F97D9566"/>
    <w:rsid w:val="FDFF41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autoRedefine/>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1"/>
    <w:next w:val="3"/>
    <w:qFormat/>
    <w:uiPriority w:val="99"/>
    <w:pPr>
      <w:autoSpaceDE w:val="0"/>
      <w:autoSpaceDN w:val="0"/>
    </w:pPr>
    <w:rPr>
      <w:rFonts w:ascii="方正黑体_GBK" w:hAnsi="方正黑体_GBK" w:eastAsia="方正黑体_GBK" w:cs="Times New Roman"/>
      <w:color w:val="000000"/>
      <w:sz w:val="24"/>
    </w:rPr>
  </w:style>
  <w:style w:type="paragraph" w:styleId="3">
    <w:name w:val="Title"/>
    <w:basedOn w:val="1"/>
    <w:next w:val="1"/>
    <w:qFormat/>
    <w:uiPriority w:val="0"/>
    <w:pPr>
      <w:spacing w:line="594" w:lineRule="exact"/>
      <w:jc w:val="center"/>
      <w:outlineLvl w:val="0"/>
    </w:pPr>
    <w:rPr>
      <w:rFonts w:eastAsia="方正小标宋_GBK"/>
      <w:b/>
      <w:bCs/>
      <w:sz w:val="44"/>
      <w:szCs w:val="32"/>
    </w:rPr>
  </w:style>
  <w:style w:type="paragraph" w:styleId="5">
    <w:name w:val="Normal Indent"/>
    <w:basedOn w:val="1"/>
    <w:next w:val="1"/>
    <w:qFormat/>
    <w:uiPriority w:val="0"/>
    <w:pPr>
      <w:autoSpaceDE w:val="0"/>
      <w:autoSpaceDN w:val="0"/>
      <w:adjustRightInd w:val="0"/>
      <w:ind w:firstLine="420"/>
    </w:pPr>
    <w:rPr>
      <w:rFonts w:ascii="宋体" w:eastAsia="仿宋_GB2312"/>
      <w:kern w:val="0"/>
      <w:sz w:val="28"/>
      <w:szCs w:val="20"/>
    </w:rPr>
  </w:style>
  <w:style w:type="paragraph" w:styleId="6">
    <w:name w:val="annotation text"/>
    <w:basedOn w:val="1"/>
    <w:qFormat/>
    <w:uiPriority w:val="0"/>
    <w:pPr>
      <w:jc w:val="left"/>
    </w:pPr>
  </w:style>
  <w:style w:type="paragraph" w:styleId="7">
    <w:name w:val="Balloon Text"/>
    <w:basedOn w:val="1"/>
    <w:link w:val="16"/>
    <w:qFormat/>
    <w:uiPriority w:val="0"/>
    <w:rPr>
      <w:sz w:val="18"/>
      <w:szCs w:val="18"/>
    </w:rPr>
  </w:style>
  <w:style w:type="paragraph" w:styleId="8">
    <w:name w:val="footer"/>
    <w:basedOn w:val="1"/>
    <w:next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spacing w:beforeAutospacing="1" w:afterAutospacing="1"/>
      <w:jc w:val="left"/>
    </w:pPr>
    <w:rPr>
      <w:rFonts w:cs="Times New Roman"/>
      <w:kern w:val="0"/>
      <w:sz w:val="24"/>
    </w:rPr>
  </w:style>
  <w:style w:type="character" w:styleId="13">
    <w:name w:val="Strong"/>
    <w:basedOn w:val="12"/>
    <w:qFormat/>
    <w:uiPriority w:val="0"/>
    <w:rPr>
      <w:b/>
      <w:bCs/>
    </w:rPr>
  </w:style>
  <w:style w:type="character" w:styleId="14">
    <w:name w:val="page number"/>
    <w:qFormat/>
    <w:uiPriority w:val="0"/>
    <w:rPr>
      <w:rFonts w:ascii="Times New Roman" w:hAnsi="Times New Roman" w:eastAsia="宋体" w:cs="Times New Roman"/>
    </w:rPr>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批注框文本 Char"/>
    <w:basedOn w:val="12"/>
    <w:link w:val="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2BBCE2-3EC0-46FC-9803-F9B802D83A53}">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1130</Words>
  <Characters>1145</Characters>
  <Lines>6</Lines>
  <Paragraphs>1</Paragraphs>
  <TotalTime>0</TotalTime>
  <ScaleCrop>false</ScaleCrop>
  <LinksUpToDate>false</LinksUpToDate>
  <CharactersWithSpaces>1154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2024-05-14T01:22:00Z</dcterms:created>
  <dc:creator>t</dc:creator>
  <cp:lastModifiedBy>棉花蛮蛮</cp:lastModifiedBy>
  <cp:lastPrinted>2022-05-12T00:46:00Z</cp:lastPrinted>
  <dcterms:modified xsi:type="dcterms:W3CDTF">2025-08-14T02:51:02Z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A7A6F509BECC40C4860F81C27A852B44_13</vt:lpwstr>
  </property>
  <property fmtid="{D5CDD505-2E9C-101B-9397-08002B2CF9AE}" pid="4" name="KSOTemplateDocerSaveRecord">
    <vt:lpwstr>eyJoZGlkIjoiMzkwYzZmNzFjOWY0YTdjM2JmZmJmYjhmZDBlMGEyMDkiLCJ1c2VySWQiOiIzNDQ3MzM3MzgifQ==</vt:lpwstr>
  </property>
</Properties>
</file>